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AF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60" w:lineRule="exact"/>
        <w:jc w:val="center"/>
        <w:textAlignment w:val="auto"/>
        <w:rPr>
          <w:rFonts w:hint="eastAsia" w:ascii="宋体" w:hAnsi="宋体" w:cs="宋体" w:eastAsiaTheme="minorEastAsia"/>
          <w:b/>
          <w:bCs/>
          <w:color w:val="FF0000"/>
          <w:kern w:val="2"/>
          <w:sz w:val="72"/>
          <w:szCs w:val="72"/>
          <w:lang w:val="en-US" w:eastAsia="zh-CN"/>
        </w:rPr>
      </w:pPr>
      <w:r>
        <w:rPr>
          <w:rFonts w:hint="eastAsia" w:ascii="宋体" w:hAnsi="宋体" w:cs="宋体" w:eastAsiaTheme="minorEastAsia"/>
          <w:b/>
          <w:bCs/>
          <w:color w:val="FF0000"/>
          <w:kern w:val="2"/>
          <w:sz w:val="72"/>
          <w:szCs w:val="72"/>
          <w:lang w:val="en-US" w:eastAsia="zh-CN"/>
        </w:rPr>
        <w:t>2026-2027学年第一学期</w:t>
      </w:r>
    </w:p>
    <w:p w14:paraId="4DAEB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60" w:lineRule="exact"/>
        <w:jc w:val="center"/>
        <w:textAlignment w:val="auto"/>
        <w:rPr>
          <w:rFonts w:hint="eastAsia" w:ascii="宋体" w:hAnsi="宋体" w:cs="宋体" w:eastAsiaTheme="minorEastAsia"/>
          <w:b/>
          <w:bCs/>
          <w:color w:val="FF0000"/>
          <w:kern w:val="2"/>
          <w:sz w:val="72"/>
          <w:szCs w:val="72"/>
          <w:lang w:val="en-US" w:eastAsia="zh-CN"/>
        </w:rPr>
      </w:pPr>
      <w:r>
        <w:rPr>
          <w:rFonts w:hint="eastAsia" w:ascii="宋体" w:hAnsi="宋体" w:cs="宋体" w:eastAsiaTheme="minorEastAsia"/>
          <w:b/>
          <w:bCs/>
          <w:color w:val="FF0000"/>
          <w:kern w:val="2"/>
          <w:sz w:val="72"/>
          <w:szCs w:val="72"/>
          <w:lang w:val="en-US" w:eastAsia="zh-CN"/>
        </w:rPr>
        <w:t>教学巡查通报</w:t>
      </w:r>
    </w:p>
    <w:p w14:paraId="782D5E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宋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color w:val="000000"/>
          <w:sz w:val="32"/>
          <w:szCs w:val="32"/>
        </w:rPr>
        <w:t>第</w:t>
      </w:r>
      <w:r>
        <w:rPr>
          <w:rFonts w:hint="eastAsia" w:ascii="黑体" w:hAnsi="黑体" w:eastAsia="黑体" w:cs="宋体"/>
          <w:b/>
          <w:bCs/>
          <w:color w:val="000000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宋体"/>
          <w:b/>
          <w:bCs/>
          <w:color w:val="000000"/>
          <w:sz w:val="32"/>
          <w:szCs w:val="32"/>
        </w:rPr>
        <w:t>期</w:t>
      </w:r>
    </w:p>
    <w:p w14:paraId="7849FB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290830</wp:posOffset>
                </wp:positionV>
                <wp:extent cx="5848350" cy="33655"/>
                <wp:effectExtent l="0" t="25400" r="0" b="361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8350" cy="33655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.9pt;margin-top:22.9pt;height:2.65pt;width:460.5pt;z-index:251659264;mso-width-relative:page;mso-height-relative:page;" filled="f" stroked="t" coordsize="21600,21600" o:gfxdata="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gI3IDtgAAAAIAQAADwAAAAAAAAABACAAAAAiAAAAZHJzL2Rvd25yZXYu&#10;eG1sUEsBAhQAFAAAAAgAh07iQFlhQAH7AQAA9QMAAA4AAAAAAAAAAQAgAAAAJwEAAGRycy9lMm9E&#10;b2MueG1sUEsFBgAAAAAGAAYAWQEAAJQFAAAAAA==&#10;">
                <v:fill on="f" focussize="0,0"/>
                <v:stroke weight="4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四川工业科技学院教务处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32"/>
          <w:szCs w:val="32"/>
        </w:rPr>
        <w:t>2026年10月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1A53E0B2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本周教学全面进入学期中期纵深推进阶段，26级本专科、专升本新生完成入学适应，老生课程难度持续加大，实训、实操类课程教学任务增多。在第六</w:t>
      </w:r>
      <w:bookmarkStart w:id="0" w:name="_GoBack"/>
      <w:bookmarkEnd w:id="0"/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周节后收心复位基础上，各学院持续巩固教学秩序，聚焦课堂教学提质、实训教学精细化管理、学风常态化管控开展巡课督查。本次巡查重点围绕中期课堂教学质量、师生课堂状态、实训实操教学规范、课堂纪律、出勤管理、教室环境卫生等方面开展全覆盖检查。现将第七周巡查整体情况通报如下：</w:t>
      </w:r>
    </w:p>
    <w:p w14:paraId="7DDD6C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rPr>
          <w:rFonts w:hint="eastAsia" w:ascii="黑体" w:hAnsi="黑体" w:eastAsia="黑体"/>
          <w:b/>
          <w:sz w:val="32"/>
          <w:szCs w:val="24"/>
        </w:rPr>
      </w:pPr>
      <w:r>
        <w:rPr>
          <w:rFonts w:hint="eastAsia" w:ascii="黑体" w:hAnsi="黑体" w:eastAsia="黑体"/>
          <w:b/>
          <w:sz w:val="32"/>
          <w:szCs w:val="24"/>
        </w:rPr>
        <w:t>一、总体情况</w:t>
      </w:r>
    </w:p>
    <w:p w14:paraId="08D61E4D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全校教学运行总体平稳有序，全体任课教师按时到岗履职，无教师迟到早退、教学事故等情况发生。多数学院优秀课堂占比保持在50%以上，教师课前备课充分，能够按照教学大纲推进中期教学任务；不少教师注重构建课程完整知识框架，善用社会热点、工程实例、临床案例丰富课堂内容，实验实训课程示范、安全交底、过程指导落实到位。学生整体出勤情况良好，马克思主义学院、教育学院实现平均到课率100%，其余各学院平均到课率维持在97%-98.5%区间。</w:t>
      </w:r>
    </w:p>
    <w:p w14:paraId="6FE81FFF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本周凸显出新的阶段性特征：经过一周收心调整，学生知识遗忘问题有所缓解，但学风管理出现反弹苗头，课堂玩手机、打瞌睡现象较上周明显上升；合班大课、晚间课程后排学生参与度不足问题依旧突出；部分教师教学设计仍偏向传统讲授，信息化教学手段、深度互动设计运用不足；少数课堂存在小组学习流于形式、教案缺少随堂及课后作业设计、案例素材更新不及时等教学短板；教室卫生管理出现反复，带早餐进教室、课后遗留垃圾、教室后门封闭等细节安全与文明课堂问题需要持续纠治。</w:t>
      </w:r>
    </w:p>
    <w:p w14:paraId="12E078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rPr>
          <w:rFonts w:hint="eastAsia" w:ascii="黑体" w:hAnsi="黑体" w:eastAsia="黑体"/>
          <w:b/>
          <w:sz w:val="32"/>
          <w:szCs w:val="24"/>
        </w:rPr>
      </w:pPr>
      <w:r>
        <w:rPr>
          <w:rFonts w:hint="eastAsia" w:ascii="黑体" w:hAnsi="黑体" w:eastAsia="黑体"/>
          <w:b/>
          <w:sz w:val="32"/>
          <w:szCs w:val="24"/>
        </w:rPr>
        <w:t>二、课堂教学分析</w:t>
      </w:r>
    </w:p>
    <w:p w14:paraId="647A7DD0">
      <w:pPr>
        <w:spacing w:before="160" w:after="80" w:line="36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1.马克思主义学院</w:t>
      </w:r>
    </w:p>
    <w:p w14:paraId="28ECACE1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巡课基础情况：累计巡课10次，覆盖10位教师、21个班级、4门课程。</w:t>
      </w:r>
    </w:p>
    <w:p w14:paraId="4093D413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教学质量分层：优秀8人次，占比80%；良好1人次，占比10%；合格1人次，占比10%，无不合格课堂。</w:t>
      </w:r>
    </w:p>
    <w:p w14:paraId="1B452C54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课堂亮点：优秀教师理论功底扎实，擅长把抽象理论转化为生活化问题情境，依托社会热点开展案例式、研讨式教学，课堂价值引导自然，师生辨析讨论组织有序，有效打通理论认知与现实思考。学生出勤表现优异，平均到课率100%，无迟到早退。</w:t>
      </w:r>
    </w:p>
    <w:p w14:paraId="5158A550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现存问题：部分教师教学理念更新滞后，教学设计偏传统，案例更新不及时；信息化教学工具运用不够充分；个别课堂“满堂灌”模式尚未完全扭转，学生主体参与深度不足。</w:t>
      </w:r>
    </w:p>
    <w:p w14:paraId="103A4248">
      <w:pPr>
        <w:spacing w:before="160" w:after="80" w:line="36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2.大健康学院</w:t>
      </w:r>
    </w:p>
    <w:p w14:paraId="1AD7E640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巡课基础情况：累计巡查10次、巡课堂数387堂，涉及任课教师106名，覆盖专升本、本科多个年级，涵盖护理、食品、酿酒工程多门理论及实训课程。</w:t>
      </w:r>
    </w:p>
    <w:p w14:paraId="0E062429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教学质量分层：课堂秩序良好（优秀课堂）275堂，占总巡课堂数71.1%；一般课堂94堂，占24.3%；秩序较差11堂，占2.8%，无不合格课堂。</w:t>
      </w:r>
    </w:p>
    <w:p w14:paraId="4144F9EE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课堂亮点：实训课教学规范度高，无菌操作、新生儿抚触、食品微生物实验等实训课程示范标准，岗位场景结合紧密，课前安全交底、仪器试剂准备到位；理论课临床案例讲授条理清晰，26级护理学本科、专升本班级实训课学习投入度高。平均到课率98.4%，整体出勤稳定。</w:t>
      </w:r>
    </w:p>
    <w:p w14:paraId="64B2A0DA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现存问题：课堂纪律出现明显反弹，学生玩手机、睡觉堂次较上周大幅上涨；带早餐进入教室现象屡禁不止；周五教室卫生问题集中爆发，存在桌面抽屉遗留零食垃圾；部分教室后门关闭，不利于巡查及应急疏散；部分一般课堂对学生违纪行为提醒制止不够及时。</w:t>
      </w:r>
    </w:p>
    <w:p w14:paraId="2AD4A749">
      <w:pPr>
        <w:spacing w:before="160" w:after="80" w:line="36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3.计算机工程学院</w:t>
      </w:r>
    </w:p>
    <w:p w14:paraId="391C8748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巡课基础情况：累计巡课5次，覆盖12位教师、10个班级、7门课程。</w:t>
      </w:r>
    </w:p>
    <w:p w14:paraId="579F9B72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教学质量分层：优秀2人次，占比17%；良好10人次，占比83%，无合格、不合格课堂。</w:t>
      </w:r>
    </w:p>
    <w:p w14:paraId="390E39AB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课堂亮点：优秀教师授课语言生动，案例选取恰当，课堂互动频次高，能够把晦涩知识通俗化讲解；全部教师均可以按时完成既定教学任务。平均到课率98%。</w:t>
      </w:r>
    </w:p>
    <w:p w14:paraId="473845D5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现存问题：个别教师对教学重难点把握不准，内容讲解深度不足；部分学生学习目标模糊，课堂注意力涣散，存在玩手机、打瞌睡；部分班级整体学习氛围薄弱，同学之间缺少协作交流。</w:t>
      </w:r>
    </w:p>
    <w:p w14:paraId="7E2A255B">
      <w:pPr>
        <w:spacing w:before="160" w:after="80" w:line="36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4.教育学院</w:t>
      </w:r>
    </w:p>
    <w:p w14:paraId="397082DE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巡课基础情况：累计巡课22堂次，覆盖教师9人次、12个班次、10门次，重点听课8堂次。</w:t>
      </w:r>
    </w:p>
    <w:p w14:paraId="104ED9A7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教学质量分层：优秀6堂次，占比75%；良好1堂次，占比12.5%；合格1堂次，占比12.5%，无不合格课堂。</w:t>
      </w:r>
    </w:p>
    <w:p w14:paraId="5CFFD4D9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课堂亮点：优秀课堂教学设计完整扎实，课堂活动贴合专业人才培养目标，教学重难点突出，能够关注学生课堂反馈。学生平均到课率100%，出勤纪律良好。</w:t>
      </w:r>
    </w:p>
    <w:p w14:paraId="6E0F27B3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现存问题：部分课堂留给学生自主思考、练习时间不足；课堂评价形式单一，缺少启发性引导；小组探究学习存在部分学生“搭便车”不参与讨论；少数学生课上小声闲聊、走神发呆，课堂主动问答积极性不高。</w:t>
      </w:r>
    </w:p>
    <w:p w14:paraId="4D0C843B">
      <w:pPr>
        <w:spacing w:before="160" w:after="80" w:line="36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5.经济管理学院</w:t>
      </w:r>
    </w:p>
    <w:p w14:paraId="18AEFDB1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巡课基础情况：累计巡课3次，覆盖20位教师、17个班级、18门课程，重点听课8堂次。</w:t>
      </w:r>
    </w:p>
    <w:p w14:paraId="3B76F30E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教学质量分层：优秀6堂次，占比75%；良好2堂次，占比25%，无不合格课堂。</w:t>
      </w:r>
    </w:p>
    <w:p w14:paraId="12AA6C32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课堂亮点：优秀教师备课充分，课堂把控能力强，案例资源丰富，重视启发学生思考，师生互动效果较好。平均到课率98.5%。</w:t>
      </w:r>
    </w:p>
    <w:p w14:paraId="25FF26AF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现存问题：部分课堂师生双向互动不足，缺少小组探究等深层次活动；部分教学设计缺失课堂练习与课后作业板块，未形成“讲授-练习-巩固”教学闭环；部分教学案例数量不足，案例与知识点融合度不高；部分班级学生座位分散，前排空置，后排就座现象突出。</w:t>
      </w:r>
    </w:p>
    <w:p w14:paraId="3C73C763">
      <w:pPr>
        <w:spacing w:before="160" w:after="80" w:line="36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6.体育学院</w:t>
      </w:r>
    </w:p>
    <w:p w14:paraId="2D127E5B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巡课基础情况：累计巡课12次，全覆盖12名授课教师、12个教学班级、8门课程。</w:t>
      </w:r>
    </w:p>
    <w:p w14:paraId="644A60A3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教学质量分层：优秀6堂次，占比50%；良好5堂次，占比41.7%；合格1堂次，占比8.3%，无不合格课堂。</w:t>
      </w:r>
    </w:p>
    <w:p w14:paraId="251D636B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课堂亮点：优秀教师理论课善用体育专业案例简化抽象概念；实践课动作示范标准，练习组织有序，理论实践结合紧密，课堂参与热情高。平均到课率97%。</w:t>
      </w:r>
    </w:p>
    <w:p w14:paraId="00EC8210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现存问题：部分学生偏好后排就座，课上打瞌睡、手机使用等问题存在；少数学生未携带教材，学习态度散漫；实践课程存在学生实训着装不规范，准备活动时间设置不合理的情况。</w:t>
      </w:r>
    </w:p>
    <w:p w14:paraId="09F4E607">
      <w:pPr>
        <w:spacing w:before="160" w:after="80" w:line="36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7.信息工程学院</w:t>
      </w:r>
    </w:p>
    <w:p w14:paraId="0D5C8BA4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巡课基础情况：组建行政、辅导员、专任教师、学生信息员多支巡查队伍，累计巡课5次，覆盖75位教师、113个班级、71门课程，重点听课18堂次。</w:t>
      </w:r>
    </w:p>
    <w:p w14:paraId="449C1C1E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教学质量分层：优秀15堂次，占比83.3%；良好3堂次，占比16.7%，无合格、不合格课堂。</w:t>
      </w:r>
    </w:p>
    <w:p w14:paraId="277FD385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课堂亮点：中期教学知识体系构建意识显著提升，教师注重梳理章节逻辑脉络，帮助学生搭建整体知识框架；工程类课程紧密对接行业实际案例；实验实训课程走向精细化管理，课前安全要求、课中巡回纠错、课后问题讲评落实到位；学生知识整理、代码调试、小组协作能力得到提升。平均到课率98.5%。</w:t>
      </w:r>
    </w:p>
    <w:p w14:paraId="240833AF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现存问题：少数课堂知识点碎片化，缺少章节之间逻辑串联；课堂提问以记忆复述类为主，高阶思维问题设计不足；晚间课程学生疲劳困倦，合班大课后排学生参与度偏低；部分实训课学生重动手操作，忽视数据记录整理。</w:t>
      </w:r>
    </w:p>
    <w:p w14:paraId="34186881">
      <w:pPr>
        <w:spacing w:before="160" w:after="80" w:line="36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8.智能制造与车辆工程学院</w:t>
      </w:r>
    </w:p>
    <w:p w14:paraId="5964B857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巡课基础情况：累计巡课80次，覆盖80位教师、80个班级、80门课程，巡查覆盖理论教室、计算机机房、焊接机加工实训室多类教学场地。</w:t>
      </w:r>
    </w:p>
    <w:p w14:paraId="71E55583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教学质量分层：优秀41人次，占比51.25%；良好39人次，占比48.75%，无合格、不合格课堂。</w:t>
      </w:r>
    </w:p>
    <w:p w14:paraId="03146F6E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课堂亮点：优秀教师精神饱满，综合运用课件、板书、实物演示开展教学，案例解析重难点，课堂调动效果好；各类实操实训室教学运行平稳，实操训练组织规范。平均到课率98%。</w:t>
      </w:r>
    </w:p>
    <w:p w14:paraId="5C8F343B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现存问题：部分课堂教学设计创新性不足，偏向单向讲授，启发提问、小组研讨运用较少；少数学生踩点到课、迟到；后排学生走神、玩手机现象突出，个别学生行为干扰周边同学听课；部分课堂互动手段单一，对学生听课状态捕捉不够及时。</w:t>
      </w:r>
    </w:p>
    <w:p w14:paraId="092E6A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rPr>
          <w:rFonts w:hint="eastAsia" w:ascii="黑体" w:hAnsi="黑体" w:eastAsia="黑体"/>
          <w:b/>
          <w:sz w:val="32"/>
          <w:szCs w:val="24"/>
        </w:rPr>
      </w:pPr>
      <w:r>
        <w:rPr>
          <w:rFonts w:hint="eastAsia" w:ascii="黑体" w:hAnsi="黑体" w:eastAsia="黑体"/>
          <w:b/>
          <w:sz w:val="32"/>
          <w:szCs w:val="24"/>
        </w:rPr>
        <w:t>三、改进措施</w:t>
      </w:r>
    </w:p>
    <w:p w14:paraId="38BE78EF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结合第七周中期教学阶段暴露出的教学短板、学风反弹、实训与教室管理细节漏洞，围绕深化课堂教学设计、压实课堂管理责任、抓实学风反弹治理、规范实训教学、强化教室安全文明管理、建立巡课闭环整改六个维度，提出如下工作要求：</w:t>
      </w:r>
    </w:p>
    <w:p w14:paraId="763AD328">
      <w:pPr>
        <w:spacing w:before="120" w:after="60" w:line="36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（一）发挥优秀课堂示范辐射，补齐课堂教学设计短板</w:t>
      </w:r>
    </w:p>
    <w:p w14:paraId="1EB6100C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各教研室借助集体备课、教学观摩、专题研讨，推广优秀课堂案例经验，带动中等、薄弱课堂提质。一是优化案例教学，鼓励教师更新社会热点、行业、临床真实案例，建立教研室案例共享资源库；二是完善教案模板，将课堂互动、当堂练习、课后作业列为教学设计必填模块，落实备课组教案互审；三是优化提问设计，减少单纯记忆类提问，增加分析、应用型问题，用好小组讨论、随堂任务、上台展示等深层次互动，破解满堂灌输。四是强化课程知识体系建构，授课前后做好章节脉络回顾，引导学生建立完整知识框架，提升学生高阶思维能力。</w:t>
      </w:r>
    </w:p>
    <w:p w14:paraId="4566DC2C">
      <w:pPr>
        <w:spacing w:before="120" w:after="60" w:line="36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（二）压实教师课堂第一责任人职责，遏制学风反弹势头</w:t>
      </w:r>
    </w:p>
    <w:p w14:paraId="796E33CA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任课教师要落实课前课堂状态整顿，对玩手机、睡觉、闲聊、后排扎堆就座等现象及时提醒制止，积极推行课前手机集中存放；晚间课程、合班大课减少长时间单向讲授，增加随堂练习、抢答、随机选人等任务驱动环节，缩小前后排学习参与差距。辅导员加强协同管理，针对课堂反复违纪学生开展课后谈心谈话；可探索将课堂出勤、课堂参与度按比例纳入课程平时成绩，形成教师课堂管理、学工思想引导联动机制。</w:t>
      </w:r>
    </w:p>
    <w:p w14:paraId="57868861">
      <w:pPr>
        <w:spacing w:before="120" w:after="60" w:line="36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（三）规范实践实训全流程教学管理</w:t>
      </w:r>
    </w:p>
    <w:p w14:paraId="13932FF5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实训课程严格落实课前安全交底，强化实操示范、巡回指导；明确学生实训着装、物品携带要求；优化实践课准备活动、实操训练时长配比；实训结束做好操作问题集中讲评，督促学生做好实验数据记录，纠正“重操作、轻记录”问题。</w:t>
      </w:r>
    </w:p>
    <w:p w14:paraId="5F9EEA71">
      <w:pPr>
        <w:spacing w:before="120" w:after="60" w:line="36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（四）深化文明课堂与教室安全卫生常态化管理</w:t>
      </w:r>
    </w:p>
    <w:p w14:paraId="4D28EC28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持续开展“不带早餐进教室”主题教育，班委、任课教师共同监督；落实教室值日、课后随手清理制度，重点关注周五等卫生问题高发时段；保障教室前后门全程畅通，便于教学巡查与应急疏散，对遗留垃圾、封闭后门的教室及时督促整改。</w:t>
      </w:r>
    </w:p>
    <w:p w14:paraId="666B2350">
      <w:pPr>
        <w:spacing w:before="120" w:after="60" w:line="36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（五）健全巡课跟踪反馈闭环机制</w:t>
      </w:r>
    </w:p>
    <w:p w14:paraId="20D1B8A4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坚持常态化多维度巡课，落实每日巡查、每周小结通报。对存在教学短板、纪律问题突出的课堂开展重点回访跟踪；对发现的问题明确整改方向，做好整改效果复核；把案例教学、课堂互动有效性、知识体系建构纳入课堂巡课观察评价指标，以督查倒逼课堂质量提升。</w:t>
      </w:r>
    </w:p>
    <w:p w14:paraId="26C630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rPr>
          <w:rFonts w:hint="eastAsia" w:ascii="黑体" w:hAnsi="黑体" w:eastAsia="黑体"/>
          <w:b/>
          <w:sz w:val="32"/>
          <w:szCs w:val="24"/>
        </w:rPr>
      </w:pPr>
      <w:r>
        <w:rPr>
          <w:rFonts w:hint="eastAsia" w:ascii="黑体" w:hAnsi="黑体" w:eastAsia="黑体"/>
          <w:b/>
          <w:sz w:val="32"/>
          <w:szCs w:val="24"/>
        </w:rPr>
        <w:t>四、结语</w:t>
      </w:r>
    </w:p>
    <w:p w14:paraId="7BBDED68">
      <w:pPr>
        <w:spacing w:before="0" w:after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各学院教学运行整体平稳，教师教学能力、实训课程规范化水平持续提升，学生总体出勤保持较好水平。但同时也要正视学风纪律反弹、部分课堂教学设计传统老旧、大课与晚间课堂管理薄弱、教室卫生安全细节疏漏等现实问题。各二级学院要坚持问题导向，把巡课发现问题转化为教学改进抓手，统筹抓好教风建设与学风管理，做好理论课提质、实训课规范，持续落实整改闭环，保障中期阶段教学质量稳步提升。</w:t>
      </w:r>
    </w:p>
    <w:p w14:paraId="4D3DA5CE">
      <w:pPr>
        <w:spacing w:before="480" w:after="0" w:line="312" w:lineRule="auto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教务处</w:t>
      </w:r>
    </w:p>
    <w:p w14:paraId="07BFAE4E">
      <w:pPr>
        <w:spacing w:before="0" w:after="0" w:line="312" w:lineRule="auto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</w:rPr>
        <w:t>2026年10月20日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28A32E9"/>
    <w:rsid w:val="5833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4087</Words>
  <Characters>4258</Characters>
  <Lines>0</Lines>
  <Paragraphs>0</Paragraphs>
  <TotalTime>0</TotalTime>
  <ScaleCrop>false</ScaleCrop>
  <LinksUpToDate>false</LinksUpToDate>
  <CharactersWithSpaces>4266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邓灯等凳蹬</cp:lastModifiedBy>
  <dcterms:modified xsi:type="dcterms:W3CDTF">2026-10-26T00:34:37Z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eyJoZGlkIjoiZTQ4NzI3YTRmNWRjYjRhMWVhNjdhMzQ2ODcxYzAyZTkiLCJ1c2VySWQiOiIzMjEzMTg1MTUifQ==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34E0B52892EB409AB201CA63D402305D_12</vt:lpwstr>
  </property>
</Properties>
</file>